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685" w:rsidRDefault="00D546F6" w:rsidP="00E4568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C. ASIATICA</w:t>
      </w:r>
      <w:r w:rsidR="00DB13CD">
        <w:rPr>
          <w:rFonts w:ascii="Arial" w:hAnsi="Arial" w:cs="Arial"/>
          <w:b/>
          <w:sz w:val="28"/>
          <w:szCs w:val="28"/>
        </w:rPr>
        <w:t xml:space="preserve"> TEN</w:t>
      </w:r>
      <w:r>
        <w:rPr>
          <w:rFonts w:ascii="Arial" w:hAnsi="Arial" w:cs="Arial"/>
          <w:b/>
          <w:sz w:val="28"/>
          <w:szCs w:val="28"/>
        </w:rPr>
        <w:t xml:space="preserve"> (</w:t>
      </w:r>
      <w:r w:rsidRPr="00D546F6">
        <w:rPr>
          <w:rFonts w:ascii="Arial" w:hAnsi="Arial" w:cs="Arial"/>
          <w:b/>
          <w:sz w:val="28"/>
          <w:szCs w:val="28"/>
        </w:rPr>
        <w:t>anticelulítica:</w:t>
      </w:r>
      <w:r>
        <w:rPr>
          <w:rFonts w:ascii="Arial" w:hAnsi="Arial" w:cs="Arial"/>
          <w:b/>
          <w:sz w:val="28"/>
          <w:szCs w:val="28"/>
        </w:rPr>
        <w:t>)</w:t>
      </w:r>
    </w:p>
    <w:p w:rsidR="00DB13CD" w:rsidRPr="0024117C" w:rsidRDefault="00DB13CD" w:rsidP="00E4568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COMPOSICIÓN:</w:t>
      </w:r>
      <w:r w:rsidR="00B47FF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7FFB">
        <w:rPr>
          <w:rFonts w:ascii="Arial" w:hAnsi="Arial" w:cs="Arial"/>
          <w:sz w:val="24"/>
          <w:szCs w:val="24"/>
        </w:rPr>
        <w:t>Procaína</w:t>
      </w:r>
      <w:proofErr w:type="spellEnd"/>
      <w:r w:rsidR="00B47FFB">
        <w:rPr>
          <w:rFonts w:ascii="Arial" w:hAnsi="Arial" w:cs="Arial"/>
          <w:sz w:val="24"/>
          <w:szCs w:val="24"/>
        </w:rPr>
        <w:t xml:space="preserve"> al 1%;</w:t>
      </w:r>
      <w:r w:rsidR="00B4123C" w:rsidRPr="00B412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123C" w:rsidRPr="00B4123C">
        <w:rPr>
          <w:rFonts w:ascii="Arial" w:hAnsi="Arial" w:cs="Arial"/>
          <w:sz w:val="24"/>
          <w:szCs w:val="24"/>
        </w:rPr>
        <w:t>Hidrocotyle</w:t>
      </w:r>
      <w:proofErr w:type="spellEnd"/>
      <w:r w:rsidR="00B4123C" w:rsidRPr="00B4123C">
        <w:rPr>
          <w:rFonts w:ascii="Arial" w:hAnsi="Arial" w:cs="Arial"/>
          <w:sz w:val="24"/>
          <w:szCs w:val="24"/>
        </w:rPr>
        <w:t xml:space="preserve"> asiática</w:t>
      </w:r>
      <w:r w:rsidR="00B47FFB">
        <w:rPr>
          <w:rFonts w:ascii="Arial" w:hAnsi="Arial" w:cs="Arial"/>
          <w:sz w:val="24"/>
          <w:szCs w:val="24"/>
        </w:rPr>
        <w:t xml:space="preserve"> 2%</w:t>
      </w:r>
      <w:r w:rsidRPr="00344CC7">
        <w:rPr>
          <w:rFonts w:ascii="Arial" w:hAnsi="Arial" w:cs="Arial"/>
          <w:sz w:val="24"/>
          <w:szCs w:val="24"/>
        </w:rPr>
        <w:t xml:space="preserve">; Cloruro de Sodio U.S.P. 9%. </w:t>
      </w:r>
    </w:p>
    <w:p w:rsidR="00D546F6" w:rsidRPr="00D546F6" w:rsidRDefault="00E45685" w:rsidP="00D546F6">
      <w:pPr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INDICACIONES:</w:t>
      </w:r>
      <w:r w:rsidRPr="00344CC7">
        <w:rPr>
          <w:rFonts w:ascii="Arial" w:hAnsi="Arial" w:cs="Arial"/>
          <w:sz w:val="24"/>
          <w:szCs w:val="24"/>
        </w:rPr>
        <w:t xml:space="preserve"> </w:t>
      </w:r>
      <w:r w:rsidR="00D546F6" w:rsidRPr="00D546F6">
        <w:rPr>
          <w:rFonts w:ascii="Arial" w:hAnsi="Arial" w:cs="Arial"/>
          <w:sz w:val="24"/>
          <w:szCs w:val="24"/>
        </w:rPr>
        <w:t xml:space="preserve">Acción anticelulítica: Actúa disminuyendo la piel de naranja, estimulando la activación </w:t>
      </w:r>
      <w:proofErr w:type="spellStart"/>
      <w:r w:rsidR="00D546F6" w:rsidRPr="00D546F6">
        <w:rPr>
          <w:rFonts w:ascii="Arial" w:hAnsi="Arial" w:cs="Arial"/>
          <w:sz w:val="24"/>
          <w:szCs w:val="24"/>
        </w:rPr>
        <w:t>fibroblástica</w:t>
      </w:r>
      <w:proofErr w:type="spellEnd"/>
      <w:r w:rsidR="00D546F6" w:rsidRPr="00D546F6">
        <w:rPr>
          <w:rFonts w:ascii="Arial" w:hAnsi="Arial" w:cs="Arial"/>
          <w:sz w:val="24"/>
          <w:szCs w:val="24"/>
        </w:rPr>
        <w:t xml:space="preserve"> y ejerciendo un efecto </w:t>
      </w:r>
      <w:proofErr w:type="spellStart"/>
      <w:r w:rsidR="00D546F6" w:rsidRPr="00D546F6">
        <w:rPr>
          <w:rFonts w:ascii="Arial" w:hAnsi="Arial" w:cs="Arial"/>
          <w:sz w:val="24"/>
          <w:szCs w:val="24"/>
        </w:rPr>
        <w:t>reepitelizante</w:t>
      </w:r>
      <w:proofErr w:type="spellEnd"/>
      <w:r w:rsidR="00D546F6" w:rsidRPr="00D546F6">
        <w:rPr>
          <w:rFonts w:ascii="Arial" w:hAnsi="Arial" w:cs="Arial"/>
          <w:sz w:val="24"/>
          <w:szCs w:val="24"/>
        </w:rPr>
        <w:t>. De esta forma aumenta la formación de colágeno. Efecto diurético: Actúa estimulando la eliminación de excesos de líquidos retenidos en el organismo. Efecto sedante: Actúa aumentando los niveles del ácido gama-amino butírico (GABA), el cual le otorga propiedades sedantes y ansiolíticas. Esta propiedad ayudaría a disminuir el nivel de ansiedad.</w:t>
      </w:r>
    </w:p>
    <w:p w:rsidR="00E45685" w:rsidRPr="00B47FFB" w:rsidRDefault="00E45685" w:rsidP="00B47FFB">
      <w:pPr>
        <w:jc w:val="both"/>
        <w:rPr>
          <w:rFonts w:ascii="Arial" w:hAnsi="Arial" w:cs="Arial"/>
        </w:rPr>
      </w:pPr>
      <w:r w:rsidRPr="0024117C">
        <w:rPr>
          <w:rFonts w:ascii="Arial" w:hAnsi="Arial" w:cs="Arial"/>
          <w:b/>
          <w:sz w:val="24"/>
          <w:szCs w:val="24"/>
        </w:rPr>
        <w:t>PROPIEDADES</w:t>
      </w:r>
      <w:r w:rsidRPr="00344CC7">
        <w:rPr>
          <w:rFonts w:ascii="Arial" w:hAnsi="Arial" w:cs="Arial"/>
          <w:sz w:val="24"/>
          <w:szCs w:val="24"/>
        </w:rPr>
        <w:t>:</w:t>
      </w:r>
      <w:r w:rsidR="00B47FFB" w:rsidRPr="00B47FFB">
        <w:rPr>
          <w:rFonts w:ascii="Arial" w:eastAsia="Times New Roman" w:hAnsi="Arial" w:cs="Arial"/>
          <w:color w:val="000000"/>
          <w:sz w:val="30"/>
          <w:szCs w:val="30"/>
          <w:lang w:eastAsia="es-CO"/>
        </w:rPr>
        <w:t xml:space="preserve"> </w:t>
      </w:r>
      <w:r w:rsidR="00B47FFB" w:rsidRPr="00B47FFB">
        <w:rPr>
          <w:rFonts w:ascii="Arial" w:hAnsi="Arial" w:cs="Arial"/>
          <w:sz w:val="24"/>
          <w:szCs w:val="24"/>
        </w:rPr>
        <w:t>Complejo Anticelulítico</w:t>
      </w:r>
      <w:r w:rsidR="00B47FFB" w:rsidRPr="00B47FFB">
        <w:rPr>
          <w:rFonts w:ascii="Arial" w:hAnsi="Arial" w:cs="Arial"/>
        </w:rPr>
        <w:t xml:space="preserve"> y </w:t>
      </w:r>
      <w:r w:rsidR="00B47FFB" w:rsidRPr="00B47FFB">
        <w:rPr>
          <w:rFonts w:ascii="Arial" w:hAnsi="Arial" w:cs="Arial"/>
          <w:sz w:val="24"/>
          <w:szCs w:val="24"/>
        </w:rPr>
        <w:t>Reafirmante,</w:t>
      </w:r>
      <w:r w:rsidRPr="00344CC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44CC7">
        <w:rPr>
          <w:rFonts w:ascii="Arial" w:hAnsi="Arial" w:cs="Arial"/>
          <w:sz w:val="24"/>
          <w:szCs w:val="24"/>
        </w:rPr>
        <w:t>Lipolítico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44CC7">
        <w:rPr>
          <w:rFonts w:ascii="Arial" w:hAnsi="Arial" w:cs="Arial"/>
          <w:sz w:val="24"/>
          <w:szCs w:val="24"/>
        </w:rPr>
        <w:t>Lipotrópico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, Promueve la dilución del tejido adiposo, Reduce el colesterol, aumenta el metabolismo y mejora las funciones celulares y hepáticas.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POSOLOGÍA:</w:t>
      </w:r>
      <w:r w:rsidRPr="00344CC7">
        <w:rPr>
          <w:rFonts w:ascii="Arial" w:hAnsi="Arial" w:cs="Arial"/>
          <w:sz w:val="24"/>
          <w:szCs w:val="24"/>
        </w:rPr>
        <w:t xml:space="preserve"> Los requisitos posológicos son variables y deben individualizarse sobre la base de cada caso para observar respuesta satisfactoria. Administración Local: Liberación </w:t>
      </w:r>
      <w:proofErr w:type="spellStart"/>
      <w:r w:rsidRPr="00344CC7">
        <w:rPr>
          <w:rFonts w:ascii="Arial" w:hAnsi="Arial" w:cs="Arial"/>
          <w:sz w:val="24"/>
          <w:szCs w:val="24"/>
        </w:rPr>
        <w:t>transdérmica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44CC7">
        <w:rPr>
          <w:rFonts w:ascii="Arial" w:hAnsi="Arial" w:cs="Arial"/>
          <w:sz w:val="24"/>
          <w:szCs w:val="24"/>
        </w:rPr>
        <w:t>mesoterapia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virtual (</w:t>
      </w:r>
      <w:proofErr w:type="spellStart"/>
      <w:r w:rsidRPr="00344CC7">
        <w:rPr>
          <w:rFonts w:ascii="Arial" w:hAnsi="Arial" w:cs="Arial"/>
          <w:sz w:val="24"/>
          <w:szCs w:val="24"/>
        </w:rPr>
        <w:t>electroporación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); infiltración subcutánea (13 mm o ½”): 10 ml distribuidos en la superficie corporal cada 48 horas. No administrar vía intramuscular ni </w:t>
      </w:r>
      <w:proofErr w:type="spellStart"/>
      <w:r w:rsidRPr="00344CC7">
        <w:rPr>
          <w:rFonts w:ascii="Arial" w:hAnsi="Arial" w:cs="Arial"/>
          <w:sz w:val="24"/>
          <w:szCs w:val="24"/>
        </w:rPr>
        <w:t>mesoterapia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ADVERTENCIA:</w:t>
      </w:r>
      <w:r w:rsidRPr="00344CC7">
        <w:rPr>
          <w:rFonts w:ascii="Arial" w:hAnsi="Arial" w:cs="Arial"/>
          <w:sz w:val="24"/>
          <w:szCs w:val="24"/>
        </w:rPr>
        <w:t xml:space="preserve"> No administrar en personas con cuadros infecciosos activos, con cáncer (activo o post tratamiento), durante el embarazo o cuando sospeche su existencia, ni durante la lactancia.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INTERACCIONES:</w:t>
      </w:r>
      <w:r w:rsidRPr="00344CC7">
        <w:rPr>
          <w:rFonts w:ascii="Arial" w:hAnsi="Arial" w:cs="Arial"/>
          <w:sz w:val="24"/>
          <w:szCs w:val="24"/>
        </w:rPr>
        <w:t xml:space="preserve"> Por ser Fórmula Homeopática no debe administrarse con productos mentolados ni alcanforados.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344CC7">
        <w:rPr>
          <w:rFonts w:ascii="Arial" w:hAnsi="Arial" w:cs="Arial"/>
          <w:sz w:val="24"/>
          <w:szCs w:val="24"/>
        </w:rPr>
        <w:t xml:space="preserve"> </w:t>
      </w:r>
      <w:r w:rsidRPr="0024117C">
        <w:rPr>
          <w:rFonts w:ascii="Arial" w:hAnsi="Arial" w:cs="Arial"/>
          <w:b/>
          <w:sz w:val="24"/>
          <w:szCs w:val="24"/>
        </w:rPr>
        <w:t>ALMACENAMIENTO:</w:t>
      </w:r>
      <w:r w:rsidRPr="00344CC7">
        <w:rPr>
          <w:rFonts w:ascii="Arial" w:hAnsi="Arial" w:cs="Arial"/>
          <w:sz w:val="24"/>
          <w:szCs w:val="24"/>
        </w:rPr>
        <w:t xml:space="preserve"> Conservar en ambiente seco y fresco, protegido de la luz directa y de la congelación, alejado de corrientes electromagnéticas.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CONTRAINDICACIONES:</w:t>
      </w:r>
      <w:r w:rsidRPr="00344CC7">
        <w:rPr>
          <w:rFonts w:ascii="Arial" w:hAnsi="Arial" w:cs="Arial"/>
          <w:sz w:val="24"/>
          <w:szCs w:val="24"/>
        </w:rPr>
        <w:t xml:space="preserve"> Hipersensibilidad a la </w:t>
      </w:r>
      <w:proofErr w:type="spellStart"/>
      <w:r w:rsidRPr="00344CC7">
        <w:rPr>
          <w:rFonts w:ascii="Arial" w:hAnsi="Arial" w:cs="Arial"/>
          <w:sz w:val="24"/>
          <w:szCs w:val="24"/>
        </w:rPr>
        <w:t>Procaína</w:t>
      </w:r>
      <w:proofErr w:type="spellEnd"/>
      <w:r w:rsidRPr="00344CC7">
        <w:rPr>
          <w:rFonts w:ascii="Arial" w:hAnsi="Arial" w:cs="Arial"/>
          <w:sz w:val="24"/>
          <w:szCs w:val="24"/>
        </w:rPr>
        <w:t xml:space="preserve"> o a alguno de sus componentes.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lastRenderedPageBreak/>
        <w:t>PRECAUCIONES</w:t>
      </w:r>
      <w:r w:rsidRPr="00344CC7">
        <w:rPr>
          <w:rFonts w:ascii="Arial" w:hAnsi="Arial" w:cs="Arial"/>
          <w:sz w:val="24"/>
          <w:szCs w:val="24"/>
        </w:rPr>
        <w:t xml:space="preserve">: Deseche si observa turbidez, sedimentación o partículas en suspensión. </w:t>
      </w:r>
    </w:p>
    <w:p w:rsidR="00E45685" w:rsidRDefault="00E45685" w:rsidP="00E45685">
      <w:pPr>
        <w:jc w:val="both"/>
        <w:rPr>
          <w:rFonts w:ascii="Arial" w:hAnsi="Arial" w:cs="Arial"/>
          <w:sz w:val="24"/>
          <w:szCs w:val="24"/>
        </w:rPr>
      </w:pPr>
      <w:r w:rsidRPr="0024117C">
        <w:rPr>
          <w:rFonts w:ascii="Arial" w:hAnsi="Arial" w:cs="Arial"/>
          <w:b/>
          <w:sz w:val="24"/>
          <w:szCs w:val="24"/>
        </w:rPr>
        <w:t>PRESENTACIÓN</w:t>
      </w:r>
      <w:r>
        <w:rPr>
          <w:rFonts w:ascii="Arial" w:hAnsi="Arial" w:cs="Arial"/>
          <w:sz w:val="24"/>
          <w:szCs w:val="24"/>
        </w:rPr>
        <w:t>: Ampolla de 5</w:t>
      </w:r>
      <w:r w:rsidRPr="00344CC7">
        <w:rPr>
          <w:rFonts w:ascii="Arial" w:hAnsi="Arial" w:cs="Arial"/>
          <w:sz w:val="24"/>
          <w:szCs w:val="24"/>
        </w:rPr>
        <w:t xml:space="preserve"> ml. </w:t>
      </w:r>
    </w:p>
    <w:p w:rsidR="00DB13CD" w:rsidRDefault="00DB13CD" w:rsidP="00E45685">
      <w:pPr>
        <w:jc w:val="both"/>
        <w:rPr>
          <w:rFonts w:ascii="Arial" w:hAnsi="Arial" w:cs="Arial"/>
          <w:sz w:val="24"/>
          <w:szCs w:val="24"/>
        </w:rPr>
      </w:pPr>
    </w:p>
    <w:p w:rsidR="00DB13CD" w:rsidRDefault="00DB13CD" w:rsidP="00E45685">
      <w:pPr>
        <w:jc w:val="both"/>
        <w:rPr>
          <w:rFonts w:ascii="Arial" w:hAnsi="Arial" w:cs="Arial"/>
          <w:sz w:val="24"/>
          <w:szCs w:val="24"/>
        </w:rPr>
      </w:pPr>
      <w:r w:rsidRPr="00DB13CD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2545991"/>
            <wp:effectExtent l="0" t="0" r="7620" b="6985"/>
            <wp:docPr id="2" name="Imagen 2" descr="C:\Users\LENOVO\Documents\PROCEDIMIENTOS DE PRODUCTOS\cajas imagenes\C. ASIATICA 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ROCEDIMIENTOS DE PRODUCTOS\cajas imagenes\C. ASIATICA T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4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74" w:rsidRDefault="00871274"/>
    <w:sectPr w:rsidR="008712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233" w:rsidRDefault="003F3233" w:rsidP="00D106D0">
      <w:pPr>
        <w:spacing w:after="0" w:line="240" w:lineRule="auto"/>
      </w:pPr>
      <w:r>
        <w:separator/>
      </w:r>
    </w:p>
  </w:endnote>
  <w:endnote w:type="continuationSeparator" w:id="0">
    <w:p w:rsidR="003F3233" w:rsidRDefault="003F3233" w:rsidP="00D1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Pr="00695FE8" w:rsidRDefault="00D106D0" w:rsidP="00D106D0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0070C0"/>
      </w:rPr>
    </w:pPr>
    <w:r>
      <w:rPr>
        <w:rFonts w:asciiTheme="majorHAnsi" w:eastAsiaTheme="majorEastAsia" w:hAnsiTheme="majorHAnsi" w:cstheme="majorBidi"/>
        <w:color w:val="0070C0"/>
      </w:rPr>
      <w:t xml:space="preserve">                         </w:t>
    </w:r>
    <w:r w:rsidRPr="00695FE8">
      <w:rPr>
        <w:rFonts w:asciiTheme="majorHAnsi" w:eastAsiaTheme="majorEastAsia" w:hAnsiTheme="majorHAnsi" w:cstheme="majorBidi"/>
        <w:color w:val="0070C0"/>
      </w:rPr>
      <w:t>ESTE DOCUMENTO ES USO EXCLUSIVO LABORATORIO SUPREMEDICS</w:t>
    </w:r>
    <w:r w:rsidRPr="00695FE8">
      <w:rPr>
        <w:rFonts w:asciiTheme="majorHAnsi" w:eastAsiaTheme="majorEastAsia" w:hAnsiTheme="majorHAnsi" w:cstheme="majorBidi"/>
        <w:color w:val="0070C0"/>
      </w:rPr>
      <w:ptab w:relativeTo="margin" w:alignment="right" w:leader="none"/>
    </w:r>
  </w:p>
  <w:p w:rsidR="00D106D0" w:rsidRPr="00695FE8" w:rsidRDefault="00D106D0" w:rsidP="00D106D0">
    <w:pPr>
      <w:pStyle w:val="Piedepgina"/>
      <w:rPr>
        <w:color w:val="0070C0"/>
      </w:rPr>
    </w:pPr>
  </w:p>
  <w:p w:rsidR="00D106D0" w:rsidRDefault="00D106D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233" w:rsidRDefault="003F3233" w:rsidP="00D106D0">
      <w:pPr>
        <w:spacing w:after="0" w:line="240" w:lineRule="auto"/>
      </w:pPr>
      <w:r>
        <w:separator/>
      </w:r>
    </w:p>
  </w:footnote>
  <w:footnote w:type="continuationSeparator" w:id="0">
    <w:p w:rsidR="003F3233" w:rsidRDefault="003F3233" w:rsidP="00D1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  <w:r>
      <w:rPr>
        <w:noProof/>
        <w:lang w:eastAsia="es-CO"/>
      </w:rPr>
      <w:drawing>
        <wp:inline distT="0" distB="0" distL="0" distR="0" wp14:anchorId="712BA562" wp14:editId="3274962A">
          <wp:extent cx="5612130" cy="1371600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6D0" w:rsidRDefault="00D106D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6D0"/>
    <w:rsid w:val="002367E1"/>
    <w:rsid w:val="00290D9F"/>
    <w:rsid w:val="0029460D"/>
    <w:rsid w:val="00301C3E"/>
    <w:rsid w:val="003F3233"/>
    <w:rsid w:val="004A3C5F"/>
    <w:rsid w:val="0052703C"/>
    <w:rsid w:val="00564066"/>
    <w:rsid w:val="007C61BA"/>
    <w:rsid w:val="00871274"/>
    <w:rsid w:val="00A51615"/>
    <w:rsid w:val="00A86C03"/>
    <w:rsid w:val="00B4123C"/>
    <w:rsid w:val="00B47FFB"/>
    <w:rsid w:val="00D106D0"/>
    <w:rsid w:val="00D546F6"/>
    <w:rsid w:val="00DB13CD"/>
    <w:rsid w:val="00E4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FD3A12-A6B1-48B0-AC7B-FAE0F074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6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D0"/>
  </w:style>
  <w:style w:type="paragraph" w:styleId="Piedepgina">
    <w:name w:val="footer"/>
    <w:basedOn w:val="Normal"/>
    <w:link w:val="Piedepgina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D0"/>
  </w:style>
  <w:style w:type="paragraph" w:styleId="Textodeglobo">
    <w:name w:val="Balloon Text"/>
    <w:basedOn w:val="Normal"/>
    <w:link w:val="TextodegloboCar"/>
    <w:uiPriority w:val="99"/>
    <w:semiHidden/>
    <w:unhideWhenUsed/>
    <w:rsid w:val="00D1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6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46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my-pc</dc:creator>
  <cp:keywords/>
  <dc:description/>
  <cp:lastModifiedBy>diana idaly parra rodriguez</cp:lastModifiedBy>
  <cp:revision>5</cp:revision>
  <dcterms:created xsi:type="dcterms:W3CDTF">2019-05-07T17:52:00Z</dcterms:created>
  <dcterms:modified xsi:type="dcterms:W3CDTF">2019-05-08T14:44:00Z</dcterms:modified>
</cp:coreProperties>
</file>