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663" w:rsidRPr="0055672F" w:rsidRDefault="006E6663" w:rsidP="006E6663">
      <w:pPr>
        <w:jc w:val="center"/>
        <w:rPr>
          <w:rFonts w:ascii="Arial" w:hAnsi="Arial" w:cs="Arial"/>
          <w:b/>
          <w:sz w:val="28"/>
          <w:szCs w:val="28"/>
        </w:rPr>
      </w:pPr>
      <w:r w:rsidRPr="0055672F">
        <w:rPr>
          <w:rFonts w:ascii="Arial" w:hAnsi="Arial" w:cs="Arial"/>
          <w:b/>
          <w:sz w:val="28"/>
          <w:szCs w:val="28"/>
        </w:rPr>
        <w:t>L-CARNITINA (Rendimiento Muscular):</w:t>
      </w:r>
    </w:p>
    <w:p w:rsidR="006E6663" w:rsidRDefault="006E6663" w:rsidP="006E6663">
      <w:pPr>
        <w:jc w:val="both"/>
        <w:rPr>
          <w:rFonts w:ascii="Arial" w:hAnsi="Arial" w:cs="Arial"/>
          <w:sz w:val="24"/>
          <w:szCs w:val="24"/>
        </w:rPr>
      </w:pPr>
    </w:p>
    <w:p w:rsidR="006E6663" w:rsidRDefault="006E6663" w:rsidP="006E6663">
      <w:pPr>
        <w:jc w:val="both"/>
        <w:rPr>
          <w:rFonts w:ascii="Arial" w:hAnsi="Arial" w:cs="Arial"/>
          <w:sz w:val="24"/>
          <w:szCs w:val="24"/>
        </w:rPr>
      </w:pPr>
      <w:r w:rsidRPr="0055672F">
        <w:rPr>
          <w:rFonts w:ascii="Arial" w:hAnsi="Arial" w:cs="Arial"/>
          <w:b/>
          <w:sz w:val="24"/>
          <w:szCs w:val="24"/>
        </w:rPr>
        <w:t>COMPOSICIÓN:</w:t>
      </w:r>
      <w:r w:rsidRPr="00344CC7">
        <w:rPr>
          <w:rFonts w:ascii="Arial" w:hAnsi="Arial" w:cs="Arial"/>
          <w:sz w:val="24"/>
          <w:szCs w:val="24"/>
        </w:rPr>
        <w:t xml:space="preserve"> </w:t>
      </w:r>
      <w:proofErr w:type="spellStart"/>
      <w:r w:rsidRPr="00344CC7">
        <w:rPr>
          <w:rFonts w:ascii="Arial" w:hAnsi="Arial" w:cs="Arial"/>
          <w:sz w:val="24"/>
          <w:szCs w:val="24"/>
        </w:rPr>
        <w:t>Procaína</w:t>
      </w:r>
      <w:proofErr w:type="spellEnd"/>
      <w:r w:rsidRPr="00344CC7">
        <w:rPr>
          <w:rFonts w:ascii="Arial" w:hAnsi="Arial" w:cs="Arial"/>
          <w:sz w:val="24"/>
          <w:szCs w:val="24"/>
        </w:rPr>
        <w:t xml:space="preserve"> al 1%; L- </w:t>
      </w:r>
      <w:proofErr w:type="spellStart"/>
      <w:r w:rsidRPr="00344CC7">
        <w:rPr>
          <w:rFonts w:ascii="Arial" w:hAnsi="Arial" w:cs="Arial"/>
          <w:sz w:val="24"/>
          <w:szCs w:val="24"/>
        </w:rPr>
        <w:t>Carnitina</w:t>
      </w:r>
      <w:proofErr w:type="spellEnd"/>
      <w:r w:rsidRPr="00344CC7">
        <w:rPr>
          <w:rFonts w:ascii="Arial" w:hAnsi="Arial" w:cs="Arial"/>
          <w:sz w:val="24"/>
          <w:szCs w:val="24"/>
        </w:rPr>
        <w:t xml:space="preserve"> (Lisina y Metionina); Cloruro de Sodio U.S.P. 9%.</w:t>
      </w:r>
    </w:p>
    <w:p w:rsidR="006E6663" w:rsidRDefault="006E6663" w:rsidP="006E6663">
      <w:pPr>
        <w:jc w:val="both"/>
        <w:rPr>
          <w:rFonts w:ascii="Arial" w:hAnsi="Arial" w:cs="Arial"/>
          <w:sz w:val="24"/>
          <w:szCs w:val="24"/>
        </w:rPr>
      </w:pPr>
      <w:r w:rsidRPr="00344CC7">
        <w:rPr>
          <w:rFonts w:ascii="Arial" w:hAnsi="Arial" w:cs="Arial"/>
          <w:sz w:val="24"/>
          <w:szCs w:val="24"/>
        </w:rPr>
        <w:t xml:space="preserve"> </w:t>
      </w:r>
      <w:r w:rsidRPr="0055672F">
        <w:rPr>
          <w:rFonts w:ascii="Arial" w:hAnsi="Arial" w:cs="Arial"/>
          <w:b/>
          <w:sz w:val="24"/>
          <w:szCs w:val="24"/>
        </w:rPr>
        <w:t>INDICACIONES:</w:t>
      </w:r>
      <w:r w:rsidRPr="00344CC7">
        <w:rPr>
          <w:rFonts w:ascii="Arial" w:hAnsi="Arial" w:cs="Arial"/>
          <w:sz w:val="24"/>
          <w:szCs w:val="24"/>
        </w:rPr>
        <w:t xml:space="preserve"> Obesidad localizada. Adelgazante. Generar mayor energía durante los entrenamientos. Mejorar el rendimiento. Mayor recuperación muscular. Aumento de la masa muscular. Retrasar la sensación de fatiga.</w:t>
      </w:r>
    </w:p>
    <w:p w:rsidR="006E6663" w:rsidRDefault="006E6663" w:rsidP="006E6663">
      <w:pPr>
        <w:jc w:val="both"/>
        <w:rPr>
          <w:rFonts w:ascii="Arial" w:hAnsi="Arial" w:cs="Arial"/>
          <w:sz w:val="24"/>
          <w:szCs w:val="24"/>
        </w:rPr>
      </w:pPr>
      <w:r w:rsidRPr="00344CC7">
        <w:rPr>
          <w:rFonts w:ascii="Arial" w:hAnsi="Arial" w:cs="Arial"/>
          <w:sz w:val="24"/>
          <w:szCs w:val="24"/>
        </w:rPr>
        <w:t xml:space="preserve"> </w:t>
      </w:r>
      <w:r w:rsidRPr="0055672F">
        <w:rPr>
          <w:rFonts w:ascii="Arial" w:hAnsi="Arial" w:cs="Arial"/>
          <w:b/>
          <w:sz w:val="24"/>
          <w:szCs w:val="24"/>
        </w:rPr>
        <w:t>PROPIEDADES</w:t>
      </w:r>
      <w:r w:rsidRPr="00344CC7">
        <w:rPr>
          <w:rFonts w:ascii="Arial" w:hAnsi="Arial" w:cs="Arial"/>
          <w:sz w:val="24"/>
          <w:szCs w:val="24"/>
        </w:rPr>
        <w:t xml:space="preserve">: </w:t>
      </w:r>
      <w:proofErr w:type="spellStart"/>
      <w:r w:rsidRPr="00344CC7">
        <w:rPr>
          <w:rFonts w:ascii="Arial" w:hAnsi="Arial" w:cs="Arial"/>
          <w:sz w:val="24"/>
          <w:szCs w:val="24"/>
        </w:rPr>
        <w:t>Lipolítico</w:t>
      </w:r>
      <w:proofErr w:type="spellEnd"/>
      <w:r w:rsidRPr="00344CC7">
        <w:rPr>
          <w:rFonts w:ascii="Arial" w:hAnsi="Arial" w:cs="Arial"/>
          <w:sz w:val="24"/>
          <w:szCs w:val="24"/>
        </w:rPr>
        <w:t xml:space="preserve">, </w:t>
      </w:r>
      <w:proofErr w:type="spellStart"/>
      <w:r w:rsidRPr="00344CC7">
        <w:rPr>
          <w:rFonts w:ascii="Arial" w:hAnsi="Arial" w:cs="Arial"/>
          <w:sz w:val="24"/>
          <w:szCs w:val="24"/>
        </w:rPr>
        <w:t>Lipotrópico</w:t>
      </w:r>
      <w:proofErr w:type="spellEnd"/>
      <w:r w:rsidRPr="00344CC7">
        <w:rPr>
          <w:rFonts w:ascii="Arial" w:hAnsi="Arial" w:cs="Arial"/>
          <w:sz w:val="24"/>
          <w:szCs w:val="24"/>
        </w:rPr>
        <w:t xml:space="preserve">, Potente </w:t>
      </w:r>
      <w:proofErr w:type="spellStart"/>
      <w:r w:rsidRPr="00344CC7">
        <w:rPr>
          <w:rFonts w:ascii="Arial" w:hAnsi="Arial" w:cs="Arial"/>
          <w:sz w:val="24"/>
          <w:szCs w:val="24"/>
        </w:rPr>
        <w:t>anticatabólico</w:t>
      </w:r>
      <w:proofErr w:type="spellEnd"/>
      <w:r w:rsidRPr="00344CC7">
        <w:rPr>
          <w:rFonts w:ascii="Arial" w:hAnsi="Arial" w:cs="Arial"/>
          <w:sz w:val="24"/>
          <w:szCs w:val="24"/>
        </w:rPr>
        <w:t xml:space="preserve">. Disminuye destrucción de masa muscular por dietas adelgazantes incorrectas. Mejora la capacidad de recuperación muscular y disminuye el daño muscular por ejercicios específicos de musculación. Acelera el metabolismo de los hidratos de carbono. Acelera el proceso de oxidación de ácidos grasos para generar mayor energía. Eficiente para quemar la grasa corporal. </w:t>
      </w:r>
    </w:p>
    <w:p w:rsidR="006E6663" w:rsidRDefault="006E6663" w:rsidP="006E6663">
      <w:pPr>
        <w:jc w:val="both"/>
        <w:rPr>
          <w:rFonts w:ascii="Arial" w:hAnsi="Arial" w:cs="Arial"/>
          <w:sz w:val="24"/>
          <w:szCs w:val="24"/>
        </w:rPr>
      </w:pPr>
      <w:r w:rsidRPr="0055672F">
        <w:rPr>
          <w:rFonts w:ascii="Arial" w:hAnsi="Arial" w:cs="Arial"/>
          <w:b/>
          <w:sz w:val="24"/>
          <w:szCs w:val="24"/>
        </w:rPr>
        <w:t xml:space="preserve">POSOLOGÍA: </w:t>
      </w:r>
      <w:r w:rsidRPr="00344CC7">
        <w:rPr>
          <w:rFonts w:ascii="Arial" w:hAnsi="Arial" w:cs="Arial"/>
          <w:sz w:val="24"/>
          <w:szCs w:val="24"/>
        </w:rPr>
        <w:t xml:space="preserve">Los requisitos posológicos son variables y deben individualizarse sobre la base de cada caso para observar respuesta satisfactoria. Administración Local: Liberación </w:t>
      </w:r>
      <w:proofErr w:type="spellStart"/>
      <w:r w:rsidRPr="00344CC7">
        <w:rPr>
          <w:rFonts w:ascii="Arial" w:hAnsi="Arial" w:cs="Arial"/>
          <w:sz w:val="24"/>
          <w:szCs w:val="24"/>
        </w:rPr>
        <w:t>transdérmica</w:t>
      </w:r>
      <w:proofErr w:type="spellEnd"/>
      <w:r w:rsidRPr="00344CC7">
        <w:rPr>
          <w:rFonts w:ascii="Arial" w:hAnsi="Arial" w:cs="Arial"/>
          <w:sz w:val="24"/>
          <w:szCs w:val="24"/>
        </w:rPr>
        <w:t xml:space="preserve"> o </w:t>
      </w:r>
      <w:proofErr w:type="spellStart"/>
      <w:r w:rsidRPr="00344CC7">
        <w:rPr>
          <w:rFonts w:ascii="Arial" w:hAnsi="Arial" w:cs="Arial"/>
          <w:sz w:val="24"/>
          <w:szCs w:val="24"/>
        </w:rPr>
        <w:t>mesoterapia</w:t>
      </w:r>
      <w:proofErr w:type="spellEnd"/>
      <w:r w:rsidRPr="00344CC7">
        <w:rPr>
          <w:rFonts w:ascii="Arial" w:hAnsi="Arial" w:cs="Arial"/>
          <w:sz w:val="24"/>
          <w:szCs w:val="24"/>
        </w:rPr>
        <w:t xml:space="preserve"> virtual (</w:t>
      </w:r>
      <w:proofErr w:type="spellStart"/>
      <w:r w:rsidRPr="00344CC7">
        <w:rPr>
          <w:rFonts w:ascii="Arial" w:hAnsi="Arial" w:cs="Arial"/>
          <w:sz w:val="24"/>
          <w:szCs w:val="24"/>
        </w:rPr>
        <w:t>electroporación</w:t>
      </w:r>
      <w:proofErr w:type="spellEnd"/>
      <w:r w:rsidRPr="00344CC7">
        <w:rPr>
          <w:rFonts w:ascii="Arial" w:hAnsi="Arial" w:cs="Arial"/>
          <w:sz w:val="24"/>
          <w:szCs w:val="24"/>
        </w:rPr>
        <w:t xml:space="preserve">); infiltración intradérmica superficial (pápulas); media o </w:t>
      </w:r>
      <w:proofErr w:type="spellStart"/>
      <w:r w:rsidRPr="00344CC7">
        <w:rPr>
          <w:rFonts w:ascii="Arial" w:hAnsi="Arial" w:cs="Arial"/>
          <w:sz w:val="24"/>
          <w:szCs w:val="24"/>
        </w:rPr>
        <w:t>mesoterapia</w:t>
      </w:r>
      <w:proofErr w:type="spellEnd"/>
      <w:r w:rsidRPr="00344CC7">
        <w:rPr>
          <w:rFonts w:ascii="Arial" w:hAnsi="Arial" w:cs="Arial"/>
          <w:sz w:val="24"/>
          <w:szCs w:val="24"/>
        </w:rPr>
        <w:t xml:space="preserve"> (4 mm): 10 ml distribuidos en la superficie corporal cada 48 horas. Administración Sistémica: Intramuscular profunda (glúteo o muslo): 2 ml cada 7 días. Recordar que una dieta baja en Carbohidratos (azúcares y harinas) es importante para mejorar la efectividad de la fórmula. </w:t>
      </w:r>
    </w:p>
    <w:p w:rsidR="006E6663" w:rsidRDefault="006E6663" w:rsidP="006E6663">
      <w:pPr>
        <w:jc w:val="both"/>
        <w:rPr>
          <w:rFonts w:ascii="Arial" w:hAnsi="Arial" w:cs="Arial"/>
          <w:sz w:val="24"/>
          <w:szCs w:val="24"/>
        </w:rPr>
      </w:pPr>
      <w:r w:rsidRPr="0055672F">
        <w:rPr>
          <w:rFonts w:ascii="Arial" w:hAnsi="Arial" w:cs="Arial"/>
          <w:b/>
          <w:sz w:val="24"/>
          <w:szCs w:val="24"/>
        </w:rPr>
        <w:t>ADVERTENCIA:</w:t>
      </w:r>
      <w:r w:rsidRPr="00344CC7">
        <w:rPr>
          <w:rFonts w:ascii="Arial" w:hAnsi="Arial" w:cs="Arial"/>
          <w:sz w:val="24"/>
          <w:szCs w:val="24"/>
        </w:rPr>
        <w:t xml:space="preserve"> No administrar en personas con cuadros infecciosos activos, con cáncer (activo o post tratamiento), durante el embarazo o cuando sospeche su existencia, ni durante la lactancia.</w:t>
      </w:r>
    </w:p>
    <w:p w:rsidR="006E6663" w:rsidRDefault="006E6663" w:rsidP="006E6663">
      <w:pPr>
        <w:jc w:val="both"/>
        <w:rPr>
          <w:rFonts w:ascii="Arial" w:hAnsi="Arial" w:cs="Arial"/>
          <w:sz w:val="24"/>
          <w:szCs w:val="24"/>
        </w:rPr>
      </w:pPr>
      <w:r w:rsidRPr="00344CC7">
        <w:rPr>
          <w:rFonts w:ascii="Arial" w:hAnsi="Arial" w:cs="Arial"/>
          <w:sz w:val="24"/>
          <w:szCs w:val="24"/>
        </w:rPr>
        <w:t xml:space="preserve"> </w:t>
      </w:r>
      <w:r w:rsidRPr="0055672F">
        <w:rPr>
          <w:rFonts w:ascii="Arial" w:hAnsi="Arial" w:cs="Arial"/>
          <w:b/>
          <w:sz w:val="24"/>
          <w:szCs w:val="24"/>
        </w:rPr>
        <w:t>INTERACCIONES:</w:t>
      </w:r>
      <w:r w:rsidRPr="00344CC7">
        <w:rPr>
          <w:rFonts w:ascii="Arial" w:hAnsi="Arial" w:cs="Arial"/>
          <w:sz w:val="24"/>
          <w:szCs w:val="24"/>
        </w:rPr>
        <w:t xml:space="preserve"> Por ser Fórmula Homeopática no administrarse con productos mentolados ni alcanforados.</w:t>
      </w:r>
    </w:p>
    <w:p w:rsidR="006E6663" w:rsidRDefault="006E6663" w:rsidP="006E6663">
      <w:pPr>
        <w:jc w:val="both"/>
        <w:rPr>
          <w:rFonts w:ascii="Arial" w:hAnsi="Arial" w:cs="Arial"/>
          <w:sz w:val="24"/>
          <w:szCs w:val="24"/>
        </w:rPr>
      </w:pPr>
      <w:r w:rsidRPr="00344CC7">
        <w:rPr>
          <w:rFonts w:ascii="Arial" w:hAnsi="Arial" w:cs="Arial"/>
          <w:sz w:val="24"/>
          <w:szCs w:val="24"/>
        </w:rPr>
        <w:t xml:space="preserve"> </w:t>
      </w:r>
      <w:r w:rsidRPr="0055672F">
        <w:rPr>
          <w:rFonts w:ascii="Arial" w:hAnsi="Arial" w:cs="Arial"/>
          <w:b/>
          <w:sz w:val="24"/>
          <w:szCs w:val="24"/>
        </w:rPr>
        <w:t>ALMACENAMIENTO:</w:t>
      </w:r>
      <w:r w:rsidRPr="00344CC7">
        <w:rPr>
          <w:rFonts w:ascii="Arial" w:hAnsi="Arial" w:cs="Arial"/>
          <w:sz w:val="24"/>
          <w:szCs w:val="24"/>
        </w:rPr>
        <w:t xml:space="preserve"> Conservar en ambiente seco y fresco, protegido de la luz directa y de la congelación, alejado de corrientes electromagnéticas. </w:t>
      </w:r>
    </w:p>
    <w:p w:rsidR="006E6663" w:rsidRDefault="006E6663" w:rsidP="006E6663">
      <w:pPr>
        <w:jc w:val="both"/>
        <w:rPr>
          <w:rFonts w:ascii="Arial" w:hAnsi="Arial" w:cs="Arial"/>
          <w:sz w:val="24"/>
          <w:szCs w:val="24"/>
        </w:rPr>
      </w:pPr>
      <w:r w:rsidRPr="0055672F">
        <w:rPr>
          <w:rFonts w:ascii="Arial" w:hAnsi="Arial" w:cs="Arial"/>
          <w:b/>
          <w:sz w:val="24"/>
          <w:szCs w:val="24"/>
        </w:rPr>
        <w:lastRenderedPageBreak/>
        <w:t>CONTRAINDICACIONES:</w:t>
      </w:r>
      <w:r w:rsidRPr="00344CC7">
        <w:rPr>
          <w:rFonts w:ascii="Arial" w:hAnsi="Arial" w:cs="Arial"/>
          <w:sz w:val="24"/>
          <w:szCs w:val="24"/>
        </w:rPr>
        <w:t xml:space="preserve"> Hipersensibilidad a la </w:t>
      </w:r>
      <w:proofErr w:type="spellStart"/>
      <w:r w:rsidRPr="00344CC7">
        <w:rPr>
          <w:rFonts w:ascii="Arial" w:hAnsi="Arial" w:cs="Arial"/>
          <w:sz w:val="24"/>
          <w:szCs w:val="24"/>
        </w:rPr>
        <w:t>Procaína</w:t>
      </w:r>
      <w:proofErr w:type="spellEnd"/>
      <w:r w:rsidRPr="00344CC7">
        <w:rPr>
          <w:rFonts w:ascii="Arial" w:hAnsi="Arial" w:cs="Arial"/>
          <w:sz w:val="24"/>
          <w:szCs w:val="24"/>
        </w:rPr>
        <w:t xml:space="preserve"> o a alguno de sus componentes. PRECAUCIONES: Deseche si observa turbidez, sedimentación o partículas en suspensión. </w:t>
      </w:r>
    </w:p>
    <w:p w:rsidR="006E6663" w:rsidRDefault="006E6663" w:rsidP="006E6663">
      <w:pPr>
        <w:jc w:val="both"/>
        <w:rPr>
          <w:rFonts w:ascii="Arial" w:hAnsi="Arial" w:cs="Arial"/>
          <w:sz w:val="24"/>
          <w:szCs w:val="24"/>
        </w:rPr>
      </w:pPr>
      <w:r w:rsidRPr="0055672F">
        <w:rPr>
          <w:rFonts w:ascii="Arial" w:hAnsi="Arial" w:cs="Arial"/>
          <w:b/>
          <w:sz w:val="24"/>
          <w:szCs w:val="24"/>
        </w:rPr>
        <w:t>PRESENTACIÓN:</w:t>
      </w:r>
      <w:r>
        <w:rPr>
          <w:rFonts w:ascii="Arial" w:hAnsi="Arial" w:cs="Arial"/>
          <w:sz w:val="24"/>
          <w:szCs w:val="24"/>
        </w:rPr>
        <w:t xml:space="preserve"> Ampolla de 5</w:t>
      </w:r>
      <w:r w:rsidRPr="00344CC7">
        <w:rPr>
          <w:rFonts w:ascii="Arial" w:hAnsi="Arial" w:cs="Arial"/>
          <w:sz w:val="24"/>
          <w:szCs w:val="24"/>
        </w:rPr>
        <w:t xml:space="preserve"> ml.</w:t>
      </w:r>
    </w:p>
    <w:p w:rsidR="00BD3043" w:rsidRDefault="00BD3043" w:rsidP="006E6663">
      <w:pPr>
        <w:jc w:val="both"/>
        <w:rPr>
          <w:rFonts w:ascii="Arial" w:hAnsi="Arial" w:cs="Arial"/>
          <w:sz w:val="24"/>
          <w:szCs w:val="24"/>
        </w:rPr>
      </w:pPr>
    </w:p>
    <w:p w:rsidR="00BD3043" w:rsidRDefault="00BD3043" w:rsidP="006E6663">
      <w:pPr>
        <w:jc w:val="both"/>
        <w:rPr>
          <w:rFonts w:ascii="Arial" w:hAnsi="Arial" w:cs="Arial"/>
          <w:sz w:val="24"/>
          <w:szCs w:val="24"/>
        </w:rPr>
      </w:pPr>
      <w:r w:rsidRPr="00BD3043">
        <w:rPr>
          <w:rFonts w:ascii="Arial" w:hAnsi="Arial" w:cs="Arial"/>
          <w:noProof/>
          <w:sz w:val="24"/>
          <w:szCs w:val="24"/>
          <w:lang w:eastAsia="es-CO"/>
        </w:rPr>
        <w:drawing>
          <wp:inline distT="0" distB="0" distL="0" distR="0">
            <wp:extent cx="5612130" cy="2545991"/>
            <wp:effectExtent l="0" t="0" r="7620" b="6985"/>
            <wp:docPr id="2" name="Imagen 2" descr="C:\Users\LENOVO\Documents\PROCEDIMIENTOS DE PRODUCTOS\cajas imagenes\L - CARNI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ROCEDIMIENTOS DE PRODUCTOS\cajas imagenes\L - CARNITI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2545991"/>
                    </a:xfrm>
                    <a:prstGeom prst="rect">
                      <a:avLst/>
                    </a:prstGeom>
                    <a:noFill/>
                    <a:ln>
                      <a:noFill/>
                    </a:ln>
                  </pic:spPr>
                </pic:pic>
              </a:graphicData>
            </a:graphic>
          </wp:inline>
        </w:drawing>
      </w:r>
      <w:bookmarkStart w:id="0" w:name="_GoBack"/>
      <w:bookmarkEnd w:id="0"/>
    </w:p>
    <w:p w:rsidR="00871274" w:rsidRDefault="00871274"/>
    <w:sectPr w:rsidR="00871274">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F20" w:rsidRDefault="00547F20" w:rsidP="00D106D0">
      <w:pPr>
        <w:spacing w:after="0" w:line="240" w:lineRule="auto"/>
      </w:pPr>
      <w:r>
        <w:separator/>
      </w:r>
    </w:p>
  </w:endnote>
  <w:endnote w:type="continuationSeparator" w:id="0">
    <w:p w:rsidR="00547F20" w:rsidRDefault="00547F20" w:rsidP="00D1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D0" w:rsidRDefault="00D106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D0" w:rsidRPr="00695FE8" w:rsidRDefault="00D106D0" w:rsidP="00D106D0">
    <w:pPr>
      <w:pStyle w:val="Piedepgina"/>
      <w:pBdr>
        <w:top w:val="thinThickSmallGap" w:sz="24" w:space="1" w:color="622423" w:themeColor="accent2" w:themeShade="7F"/>
      </w:pBdr>
      <w:rPr>
        <w:rFonts w:asciiTheme="majorHAnsi" w:eastAsiaTheme="majorEastAsia" w:hAnsiTheme="majorHAnsi" w:cstheme="majorBidi"/>
        <w:color w:val="0070C0"/>
      </w:rPr>
    </w:pPr>
    <w:r>
      <w:rPr>
        <w:rFonts w:asciiTheme="majorHAnsi" w:eastAsiaTheme="majorEastAsia" w:hAnsiTheme="majorHAnsi" w:cstheme="majorBidi"/>
        <w:color w:val="0070C0"/>
      </w:rPr>
      <w:t xml:space="preserve">                         </w:t>
    </w:r>
    <w:r w:rsidRPr="00695FE8">
      <w:rPr>
        <w:rFonts w:asciiTheme="majorHAnsi" w:eastAsiaTheme="majorEastAsia" w:hAnsiTheme="majorHAnsi" w:cstheme="majorBidi"/>
        <w:color w:val="0070C0"/>
      </w:rPr>
      <w:t>ESTE DOCUMENTO ES USO EXCLUSIVO LABORATORIO SUPREMEDICS</w:t>
    </w:r>
    <w:r w:rsidRPr="00695FE8">
      <w:rPr>
        <w:rFonts w:asciiTheme="majorHAnsi" w:eastAsiaTheme="majorEastAsia" w:hAnsiTheme="majorHAnsi" w:cstheme="majorBidi"/>
        <w:color w:val="0070C0"/>
      </w:rPr>
      <w:ptab w:relativeTo="margin" w:alignment="right" w:leader="none"/>
    </w:r>
  </w:p>
  <w:p w:rsidR="00D106D0" w:rsidRPr="00695FE8" w:rsidRDefault="00D106D0" w:rsidP="00D106D0">
    <w:pPr>
      <w:pStyle w:val="Piedepgina"/>
      <w:rPr>
        <w:color w:val="0070C0"/>
      </w:rPr>
    </w:pPr>
  </w:p>
  <w:p w:rsidR="00D106D0" w:rsidRDefault="00D106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D0" w:rsidRDefault="00D106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F20" w:rsidRDefault="00547F20" w:rsidP="00D106D0">
      <w:pPr>
        <w:spacing w:after="0" w:line="240" w:lineRule="auto"/>
      </w:pPr>
      <w:r>
        <w:separator/>
      </w:r>
    </w:p>
  </w:footnote>
  <w:footnote w:type="continuationSeparator" w:id="0">
    <w:p w:rsidR="00547F20" w:rsidRDefault="00547F20" w:rsidP="00D10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D0" w:rsidRDefault="00D106D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D0" w:rsidRDefault="00D106D0">
    <w:pPr>
      <w:pStyle w:val="Encabezado"/>
    </w:pPr>
    <w:r>
      <w:rPr>
        <w:noProof/>
        <w:lang w:eastAsia="es-CO"/>
      </w:rPr>
      <w:drawing>
        <wp:inline distT="0" distB="0" distL="0" distR="0" wp14:anchorId="712BA562" wp14:editId="3274962A">
          <wp:extent cx="5612130" cy="13716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371600"/>
                  </a:xfrm>
                  <a:prstGeom prst="rect">
                    <a:avLst/>
                  </a:prstGeom>
                  <a:noFill/>
                  <a:ln>
                    <a:noFill/>
                  </a:ln>
                </pic:spPr>
              </pic:pic>
            </a:graphicData>
          </a:graphic>
        </wp:inline>
      </w:drawing>
    </w:r>
  </w:p>
  <w:p w:rsidR="00D106D0" w:rsidRDefault="00D106D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D0" w:rsidRDefault="00D106D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D0"/>
    <w:rsid w:val="00547F20"/>
    <w:rsid w:val="006E6663"/>
    <w:rsid w:val="00871274"/>
    <w:rsid w:val="008B6B43"/>
    <w:rsid w:val="00A86C03"/>
    <w:rsid w:val="00BD3043"/>
    <w:rsid w:val="00D106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2C79AC-2D2B-4DB7-95C4-74D64BB8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6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06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06D0"/>
  </w:style>
  <w:style w:type="paragraph" w:styleId="Piedepgina">
    <w:name w:val="footer"/>
    <w:basedOn w:val="Normal"/>
    <w:link w:val="PiedepginaCar"/>
    <w:uiPriority w:val="99"/>
    <w:unhideWhenUsed/>
    <w:rsid w:val="00D106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6D0"/>
  </w:style>
  <w:style w:type="paragraph" w:styleId="Textodeglobo">
    <w:name w:val="Balloon Text"/>
    <w:basedOn w:val="Normal"/>
    <w:link w:val="TextodegloboCar"/>
    <w:uiPriority w:val="99"/>
    <w:semiHidden/>
    <w:unhideWhenUsed/>
    <w:rsid w:val="00D106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6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1683</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diana idaly parra rodriguez</cp:lastModifiedBy>
  <cp:revision>4</cp:revision>
  <dcterms:created xsi:type="dcterms:W3CDTF">2018-02-08T21:13:00Z</dcterms:created>
  <dcterms:modified xsi:type="dcterms:W3CDTF">2019-05-08T14:52:00Z</dcterms:modified>
</cp:coreProperties>
</file>