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5685" w:rsidRPr="0024117C" w:rsidRDefault="00A51615" w:rsidP="00E4568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FOXFALIX -PLUS</w:t>
      </w:r>
      <w:r w:rsidR="00E45685" w:rsidRPr="0024117C">
        <w:rPr>
          <w:rFonts w:ascii="Arial" w:hAnsi="Arial" w:cs="Arial"/>
          <w:b/>
          <w:sz w:val="28"/>
          <w:szCs w:val="28"/>
        </w:rPr>
        <w:t xml:space="preserve"> (Lipolítico):</w:t>
      </w:r>
    </w:p>
    <w:p w:rsidR="00E45685" w:rsidRDefault="00E45685" w:rsidP="00E45685">
      <w:pPr>
        <w:jc w:val="both"/>
        <w:rPr>
          <w:rFonts w:ascii="Arial" w:hAnsi="Arial" w:cs="Arial"/>
          <w:sz w:val="24"/>
          <w:szCs w:val="24"/>
        </w:rPr>
      </w:pPr>
      <w:r w:rsidRPr="0024117C">
        <w:rPr>
          <w:rFonts w:ascii="Arial" w:hAnsi="Arial" w:cs="Arial"/>
          <w:b/>
          <w:sz w:val="24"/>
          <w:szCs w:val="24"/>
        </w:rPr>
        <w:t>COMPOSICIÓN:</w:t>
      </w:r>
      <w:r w:rsidRPr="00344CC7">
        <w:rPr>
          <w:rFonts w:ascii="Arial" w:hAnsi="Arial" w:cs="Arial"/>
          <w:sz w:val="24"/>
          <w:szCs w:val="24"/>
        </w:rPr>
        <w:t xml:space="preserve"> Procaína al 1%; FosfatidilColina (Lecitina de Soya); Cloruro de Sodio U.S.P. 9%. </w:t>
      </w:r>
    </w:p>
    <w:p w:rsidR="00E45685" w:rsidRDefault="00E45685" w:rsidP="00E45685">
      <w:pPr>
        <w:jc w:val="both"/>
        <w:rPr>
          <w:rFonts w:ascii="Arial" w:hAnsi="Arial" w:cs="Arial"/>
          <w:sz w:val="24"/>
          <w:szCs w:val="24"/>
        </w:rPr>
      </w:pPr>
      <w:r w:rsidRPr="0024117C">
        <w:rPr>
          <w:rFonts w:ascii="Arial" w:hAnsi="Arial" w:cs="Arial"/>
          <w:b/>
          <w:sz w:val="24"/>
          <w:szCs w:val="24"/>
        </w:rPr>
        <w:t>INDICACIONES:</w:t>
      </w:r>
      <w:r w:rsidRPr="00344CC7">
        <w:rPr>
          <w:rFonts w:ascii="Arial" w:hAnsi="Arial" w:cs="Arial"/>
          <w:sz w:val="24"/>
          <w:szCs w:val="24"/>
        </w:rPr>
        <w:t xml:space="preserve"> Obesidad localizada. Disminución del tejido graso localizado en abdomen, caderas, piernas, brazos y glúteos (Reducción de medidas). Para pacientes con peso ideal o sobrepeso leve. </w:t>
      </w:r>
    </w:p>
    <w:p w:rsidR="00E45685" w:rsidRDefault="00E45685" w:rsidP="00E45685">
      <w:pPr>
        <w:jc w:val="both"/>
        <w:rPr>
          <w:rFonts w:ascii="Arial" w:hAnsi="Arial" w:cs="Arial"/>
          <w:sz w:val="24"/>
          <w:szCs w:val="24"/>
        </w:rPr>
      </w:pPr>
      <w:r w:rsidRPr="0024117C">
        <w:rPr>
          <w:rFonts w:ascii="Arial" w:hAnsi="Arial" w:cs="Arial"/>
          <w:b/>
          <w:sz w:val="24"/>
          <w:szCs w:val="24"/>
        </w:rPr>
        <w:t>PROPIEDADES</w:t>
      </w:r>
      <w:r w:rsidRPr="00344CC7">
        <w:rPr>
          <w:rFonts w:ascii="Arial" w:hAnsi="Arial" w:cs="Arial"/>
          <w:sz w:val="24"/>
          <w:szCs w:val="24"/>
        </w:rPr>
        <w:t xml:space="preserve">: Lipolítico, Lipotrópico, Promueve la dilución del tejido adiposo, solubilizándolo para su posterior eliminación (Lipodilución). Reduce el colesterol, aumenta el metabolismo y mejora las funciones celulares y hepáticas. </w:t>
      </w:r>
    </w:p>
    <w:p w:rsidR="00E45685" w:rsidRDefault="00E45685" w:rsidP="00E45685">
      <w:pPr>
        <w:jc w:val="both"/>
        <w:rPr>
          <w:rFonts w:ascii="Arial" w:hAnsi="Arial" w:cs="Arial"/>
          <w:sz w:val="24"/>
          <w:szCs w:val="24"/>
        </w:rPr>
      </w:pPr>
      <w:r w:rsidRPr="0024117C">
        <w:rPr>
          <w:rFonts w:ascii="Arial" w:hAnsi="Arial" w:cs="Arial"/>
          <w:b/>
          <w:sz w:val="24"/>
          <w:szCs w:val="24"/>
        </w:rPr>
        <w:t>POSOLOGÍA:</w:t>
      </w:r>
      <w:r w:rsidRPr="00344CC7">
        <w:rPr>
          <w:rFonts w:ascii="Arial" w:hAnsi="Arial" w:cs="Arial"/>
          <w:sz w:val="24"/>
          <w:szCs w:val="24"/>
        </w:rPr>
        <w:t xml:space="preserve"> Los requisitos posológicos son variables y deben individualizarse sobre la base de cada caso para observar respuesta satisfactoria. Administración Local: Liberación transdérmica o mesoterapia virtual (electroporación); infiltración subcutánea (13 mm o ½”): 10 ml distribuidos en la superficie corporal cada 48 horas. No administrar vía intramuscular ni mesoterapia. </w:t>
      </w:r>
    </w:p>
    <w:p w:rsidR="00E45685" w:rsidRDefault="00E45685" w:rsidP="00E45685">
      <w:pPr>
        <w:jc w:val="both"/>
        <w:rPr>
          <w:rFonts w:ascii="Arial" w:hAnsi="Arial" w:cs="Arial"/>
          <w:sz w:val="24"/>
          <w:szCs w:val="24"/>
        </w:rPr>
      </w:pPr>
      <w:r w:rsidRPr="0024117C">
        <w:rPr>
          <w:rFonts w:ascii="Arial" w:hAnsi="Arial" w:cs="Arial"/>
          <w:b/>
          <w:sz w:val="24"/>
          <w:szCs w:val="24"/>
        </w:rPr>
        <w:t>ADVERTENCIA:</w:t>
      </w:r>
      <w:r w:rsidRPr="00344CC7">
        <w:rPr>
          <w:rFonts w:ascii="Arial" w:hAnsi="Arial" w:cs="Arial"/>
          <w:sz w:val="24"/>
          <w:szCs w:val="24"/>
        </w:rPr>
        <w:t xml:space="preserve"> No administrar en personas con cuadros infecciosos activos, con cáncer (activo o post tratamiento), durante el embarazo o cuando sospeche su existencia, ni durante la lactancia. </w:t>
      </w:r>
    </w:p>
    <w:p w:rsidR="00E45685" w:rsidRDefault="00E45685" w:rsidP="00E45685">
      <w:pPr>
        <w:jc w:val="both"/>
        <w:rPr>
          <w:rFonts w:ascii="Arial" w:hAnsi="Arial" w:cs="Arial"/>
          <w:sz w:val="24"/>
          <w:szCs w:val="24"/>
        </w:rPr>
      </w:pPr>
      <w:r w:rsidRPr="0024117C">
        <w:rPr>
          <w:rFonts w:ascii="Arial" w:hAnsi="Arial" w:cs="Arial"/>
          <w:b/>
          <w:sz w:val="24"/>
          <w:szCs w:val="24"/>
        </w:rPr>
        <w:t>INTERACCIONES:</w:t>
      </w:r>
      <w:r w:rsidRPr="00344CC7">
        <w:rPr>
          <w:rFonts w:ascii="Arial" w:hAnsi="Arial" w:cs="Arial"/>
          <w:sz w:val="24"/>
          <w:szCs w:val="24"/>
        </w:rPr>
        <w:t xml:space="preserve"> Por ser Fórmula Homeopática no debe administrarse con productos mentolados ni alcanforados.</w:t>
      </w:r>
    </w:p>
    <w:p w:rsidR="00E45685" w:rsidRDefault="00E45685" w:rsidP="00E45685">
      <w:pPr>
        <w:jc w:val="both"/>
        <w:rPr>
          <w:rFonts w:ascii="Arial" w:hAnsi="Arial" w:cs="Arial"/>
          <w:sz w:val="24"/>
          <w:szCs w:val="24"/>
        </w:rPr>
      </w:pPr>
      <w:r w:rsidRPr="00344CC7">
        <w:rPr>
          <w:rFonts w:ascii="Arial" w:hAnsi="Arial" w:cs="Arial"/>
          <w:sz w:val="24"/>
          <w:szCs w:val="24"/>
        </w:rPr>
        <w:t xml:space="preserve"> </w:t>
      </w:r>
      <w:r w:rsidRPr="0024117C">
        <w:rPr>
          <w:rFonts w:ascii="Arial" w:hAnsi="Arial" w:cs="Arial"/>
          <w:b/>
          <w:sz w:val="24"/>
          <w:szCs w:val="24"/>
        </w:rPr>
        <w:t>ALMACENAMIENTO:</w:t>
      </w:r>
      <w:r w:rsidRPr="00344CC7">
        <w:rPr>
          <w:rFonts w:ascii="Arial" w:hAnsi="Arial" w:cs="Arial"/>
          <w:sz w:val="24"/>
          <w:szCs w:val="24"/>
        </w:rPr>
        <w:t xml:space="preserve"> Conservar en ambiente seco y fresco, protegido de la luz directa y de la congelación, alejado de corrientes electromagnéticas. </w:t>
      </w:r>
    </w:p>
    <w:p w:rsidR="00E45685" w:rsidRDefault="00E45685" w:rsidP="00E45685">
      <w:pPr>
        <w:jc w:val="both"/>
        <w:rPr>
          <w:rFonts w:ascii="Arial" w:hAnsi="Arial" w:cs="Arial"/>
          <w:sz w:val="24"/>
          <w:szCs w:val="24"/>
        </w:rPr>
      </w:pPr>
      <w:r w:rsidRPr="0024117C">
        <w:rPr>
          <w:rFonts w:ascii="Arial" w:hAnsi="Arial" w:cs="Arial"/>
          <w:b/>
          <w:sz w:val="24"/>
          <w:szCs w:val="24"/>
        </w:rPr>
        <w:t>CONTRAINDICACIONES:</w:t>
      </w:r>
      <w:r w:rsidRPr="00344CC7">
        <w:rPr>
          <w:rFonts w:ascii="Arial" w:hAnsi="Arial" w:cs="Arial"/>
          <w:sz w:val="24"/>
          <w:szCs w:val="24"/>
        </w:rPr>
        <w:t xml:space="preserve"> Hipersensibilidad a la Procaína o a alguno de sus componentes. </w:t>
      </w:r>
    </w:p>
    <w:p w:rsidR="00C75FD7" w:rsidRDefault="00C75FD7" w:rsidP="00E45685">
      <w:pPr>
        <w:jc w:val="both"/>
        <w:rPr>
          <w:rFonts w:ascii="Arial" w:hAnsi="Arial" w:cs="Arial"/>
          <w:sz w:val="24"/>
          <w:szCs w:val="24"/>
        </w:rPr>
      </w:pPr>
    </w:p>
    <w:p w:rsidR="00C75FD7" w:rsidRDefault="00C75FD7" w:rsidP="00E45685">
      <w:pPr>
        <w:jc w:val="both"/>
        <w:rPr>
          <w:rFonts w:ascii="Arial" w:hAnsi="Arial" w:cs="Arial"/>
          <w:sz w:val="24"/>
          <w:szCs w:val="24"/>
        </w:rPr>
      </w:pPr>
    </w:p>
    <w:p w:rsidR="00C75FD7" w:rsidRDefault="00C75FD7" w:rsidP="00E45685">
      <w:pPr>
        <w:jc w:val="both"/>
        <w:rPr>
          <w:rFonts w:ascii="Arial" w:hAnsi="Arial" w:cs="Arial"/>
          <w:sz w:val="24"/>
          <w:szCs w:val="24"/>
        </w:rPr>
      </w:pPr>
    </w:p>
    <w:p w:rsidR="00E45685" w:rsidRDefault="00E45685" w:rsidP="00E45685">
      <w:pPr>
        <w:jc w:val="both"/>
        <w:rPr>
          <w:rFonts w:ascii="Arial" w:hAnsi="Arial" w:cs="Arial"/>
          <w:sz w:val="24"/>
          <w:szCs w:val="24"/>
        </w:rPr>
      </w:pPr>
      <w:r w:rsidRPr="0024117C">
        <w:rPr>
          <w:rFonts w:ascii="Arial" w:hAnsi="Arial" w:cs="Arial"/>
          <w:b/>
          <w:sz w:val="24"/>
          <w:szCs w:val="24"/>
        </w:rPr>
        <w:lastRenderedPageBreak/>
        <w:t>PRECAUCIONES</w:t>
      </w:r>
      <w:r w:rsidRPr="00344CC7">
        <w:rPr>
          <w:rFonts w:ascii="Arial" w:hAnsi="Arial" w:cs="Arial"/>
          <w:sz w:val="24"/>
          <w:szCs w:val="24"/>
        </w:rPr>
        <w:t xml:space="preserve">: Deseche si observa turbidez, sedimentación o partículas en suspensión. </w:t>
      </w:r>
    </w:p>
    <w:p w:rsidR="00E45685" w:rsidRDefault="00E45685" w:rsidP="00E45685">
      <w:pPr>
        <w:jc w:val="both"/>
        <w:rPr>
          <w:rFonts w:ascii="Arial" w:hAnsi="Arial" w:cs="Arial"/>
          <w:sz w:val="24"/>
          <w:szCs w:val="24"/>
        </w:rPr>
      </w:pPr>
      <w:r w:rsidRPr="0024117C">
        <w:rPr>
          <w:rFonts w:ascii="Arial" w:hAnsi="Arial" w:cs="Arial"/>
          <w:b/>
          <w:sz w:val="24"/>
          <w:szCs w:val="24"/>
        </w:rPr>
        <w:t>PRESENTACIÓN</w:t>
      </w:r>
      <w:r>
        <w:rPr>
          <w:rFonts w:ascii="Arial" w:hAnsi="Arial" w:cs="Arial"/>
          <w:sz w:val="24"/>
          <w:szCs w:val="24"/>
        </w:rPr>
        <w:t>: Ampolla de 5</w:t>
      </w:r>
      <w:r w:rsidRPr="00344CC7">
        <w:rPr>
          <w:rFonts w:ascii="Arial" w:hAnsi="Arial" w:cs="Arial"/>
          <w:sz w:val="24"/>
          <w:szCs w:val="24"/>
        </w:rPr>
        <w:t xml:space="preserve"> ml. </w:t>
      </w:r>
    </w:p>
    <w:p w:rsidR="00C75FD7" w:rsidRDefault="00C75FD7" w:rsidP="00E45685">
      <w:pPr>
        <w:jc w:val="both"/>
        <w:rPr>
          <w:rFonts w:ascii="Arial" w:hAnsi="Arial" w:cs="Arial"/>
          <w:sz w:val="24"/>
          <w:szCs w:val="24"/>
        </w:rPr>
      </w:pPr>
    </w:p>
    <w:p w:rsidR="00C75FD7" w:rsidRDefault="00C75FD7" w:rsidP="00E45685">
      <w:pPr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C75FD7" w:rsidRDefault="00C75FD7" w:rsidP="00E45685">
      <w:pPr>
        <w:jc w:val="both"/>
        <w:rPr>
          <w:rFonts w:ascii="Arial" w:hAnsi="Arial" w:cs="Arial"/>
          <w:sz w:val="24"/>
          <w:szCs w:val="24"/>
        </w:rPr>
      </w:pPr>
      <w:r w:rsidRPr="00C75FD7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>
            <wp:extent cx="5612130" cy="2566523"/>
            <wp:effectExtent l="0" t="0" r="7620" b="5715"/>
            <wp:docPr id="2" name="Imagen 2" descr="C:\Users\LENOVO\Documents\PROCEDIMIENTOS DE PRODUCTOS\cajas imagenes\FOXFALIX -PL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PROCEDIMIENTOS DE PRODUCTOS\cajas imagenes\FOXFALIX -PLU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566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274" w:rsidRDefault="00871274"/>
    <w:sectPr w:rsidR="0087127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643B" w:rsidRDefault="004C643B" w:rsidP="00D106D0">
      <w:pPr>
        <w:spacing w:after="0" w:line="240" w:lineRule="auto"/>
      </w:pPr>
      <w:r>
        <w:separator/>
      </w:r>
    </w:p>
  </w:endnote>
  <w:endnote w:type="continuationSeparator" w:id="0">
    <w:p w:rsidR="004C643B" w:rsidRDefault="004C643B" w:rsidP="00D106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06D0" w:rsidRDefault="00D106D0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06D0" w:rsidRPr="00695FE8" w:rsidRDefault="00D106D0" w:rsidP="00D106D0">
    <w:pPr>
      <w:pStyle w:val="Piedepgina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  <w:color w:val="0070C0"/>
      </w:rPr>
    </w:pPr>
    <w:r>
      <w:rPr>
        <w:rFonts w:asciiTheme="majorHAnsi" w:eastAsiaTheme="majorEastAsia" w:hAnsiTheme="majorHAnsi" w:cstheme="majorBidi"/>
        <w:color w:val="0070C0"/>
      </w:rPr>
      <w:t xml:space="preserve">                         </w:t>
    </w:r>
    <w:r w:rsidRPr="00695FE8">
      <w:rPr>
        <w:rFonts w:asciiTheme="majorHAnsi" w:eastAsiaTheme="majorEastAsia" w:hAnsiTheme="majorHAnsi" w:cstheme="majorBidi"/>
        <w:color w:val="0070C0"/>
      </w:rPr>
      <w:t>ESTE DOCUMENTO ES USO EXCLUSIVO LABORATORIO SUPREMEDICS</w:t>
    </w:r>
    <w:r w:rsidRPr="00695FE8">
      <w:rPr>
        <w:rFonts w:asciiTheme="majorHAnsi" w:eastAsiaTheme="majorEastAsia" w:hAnsiTheme="majorHAnsi" w:cstheme="majorBidi"/>
        <w:color w:val="0070C0"/>
      </w:rPr>
      <w:ptab w:relativeTo="margin" w:alignment="right" w:leader="none"/>
    </w:r>
  </w:p>
  <w:p w:rsidR="00D106D0" w:rsidRPr="00695FE8" w:rsidRDefault="00D106D0" w:rsidP="00D106D0">
    <w:pPr>
      <w:pStyle w:val="Piedepgina"/>
      <w:rPr>
        <w:color w:val="0070C0"/>
      </w:rPr>
    </w:pPr>
  </w:p>
  <w:p w:rsidR="00D106D0" w:rsidRDefault="00D106D0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06D0" w:rsidRDefault="00D106D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643B" w:rsidRDefault="004C643B" w:rsidP="00D106D0">
      <w:pPr>
        <w:spacing w:after="0" w:line="240" w:lineRule="auto"/>
      </w:pPr>
      <w:r>
        <w:separator/>
      </w:r>
    </w:p>
  </w:footnote>
  <w:footnote w:type="continuationSeparator" w:id="0">
    <w:p w:rsidR="004C643B" w:rsidRDefault="004C643B" w:rsidP="00D106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06D0" w:rsidRDefault="00D106D0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06D0" w:rsidRDefault="00D106D0">
    <w:pPr>
      <w:pStyle w:val="Encabezado"/>
    </w:pPr>
    <w:r>
      <w:rPr>
        <w:noProof/>
        <w:lang w:eastAsia="es-CO"/>
      </w:rPr>
      <w:drawing>
        <wp:inline distT="0" distB="0" distL="0" distR="0" wp14:anchorId="712BA562" wp14:editId="3274962A">
          <wp:extent cx="5612130" cy="1371600"/>
          <wp:effectExtent l="0" t="0" r="762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137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106D0" w:rsidRDefault="00D106D0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06D0" w:rsidRDefault="00D106D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06D0"/>
    <w:rsid w:val="00290D9F"/>
    <w:rsid w:val="004C643B"/>
    <w:rsid w:val="00564066"/>
    <w:rsid w:val="00871274"/>
    <w:rsid w:val="00A51615"/>
    <w:rsid w:val="00A86C03"/>
    <w:rsid w:val="00C75FD7"/>
    <w:rsid w:val="00D106D0"/>
    <w:rsid w:val="00E45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B24455-6868-42F6-B779-36C738A5E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568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106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106D0"/>
  </w:style>
  <w:style w:type="paragraph" w:styleId="Piedepgina">
    <w:name w:val="footer"/>
    <w:basedOn w:val="Normal"/>
    <w:link w:val="PiedepginaCar"/>
    <w:uiPriority w:val="99"/>
    <w:unhideWhenUsed/>
    <w:rsid w:val="00D106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106D0"/>
  </w:style>
  <w:style w:type="paragraph" w:styleId="Textodeglobo">
    <w:name w:val="Balloon Text"/>
    <w:basedOn w:val="Normal"/>
    <w:link w:val="TextodegloboCar"/>
    <w:uiPriority w:val="99"/>
    <w:semiHidden/>
    <w:unhideWhenUsed/>
    <w:rsid w:val="00D106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06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243</Words>
  <Characters>1341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1581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my-pc</dc:creator>
  <cp:lastModifiedBy>diana idaly parra rodriguez</cp:lastModifiedBy>
  <cp:revision>5</cp:revision>
  <dcterms:created xsi:type="dcterms:W3CDTF">2018-02-08T21:10:00Z</dcterms:created>
  <dcterms:modified xsi:type="dcterms:W3CDTF">2019-05-08T14:50:00Z</dcterms:modified>
</cp:coreProperties>
</file>