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0A" w:rsidRPr="0055672F" w:rsidRDefault="00BB42C5" w:rsidP="00F6300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FACTOR</w:t>
      </w:r>
      <w:r w:rsidR="00F6300A">
        <w:rPr>
          <w:rFonts w:ascii="Arial" w:hAnsi="Arial" w:cs="Arial"/>
          <w:b/>
          <w:sz w:val="28"/>
          <w:szCs w:val="28"/>
        </w:rPr>
        <w:t xml:space="preserve"> STRIZ</w:t>
      </w:r>
      <w:r w:rsidR="00F6300A" w:rsidRPr="0055672F">
        <w:rPr>
          <w:rFonts w:ascii="Arial" w:hAnsi="Arial" w:cs="Arial"/>
          <w:b/>
          <w:sz w:val="28"/>
          <w:szCs w:val="28"/>
        </w:rPr>
        <w:t xml:space="preserve"> (Reafirmante):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COMPOSICIÓN:</w:t>
      </w:r>
      <w:r w:rsidRPr="00344C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4CC7">
        <w:rPr>
          <w:rFonts w:ascii="Arial" w:hAnsi="Arial" w:cs="Arial"/>
          <w:sz w:val="24"/>
          <w:szCs w:val="24"/>
        </w:rPr>
        <w:t>Procaína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al 1%; Activador de Músculo Estriado; Colágeno, Ácido Hialurónico; Vitamina C; Factor de Crecimiento Epidérmico; </w:t>
      </w:r>
      <w:proofErr w:type="spellStart"/>
      <w:r w:rsidRPr="00344CC7">
        <w:rPr>
          <w:rFonts w:ascii="Arial" w:hAnsi="Arial" w:cs="Arial"/>
          <w:sz w:val="24"/>
          <w:szCs w:val="24"/>
        </w:rPr>
        <w:t>Equisetum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344CC7">
        <w:rPr>
          <w:rFonts w:ascii="Arial" w:hAnsi="Arial" w:cs="Arial"/>
          <w:sz w:val="24"/>
          <w:szCs w:val="24"/>
        </w:rPr>
        <w:t>Humulus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4CC7">
        <w:rPr>
          <w:rFonts w:ascii="Arial" w:hAnsi="Arial" w:cs="Arial"/>
          <w:sz w:val="24"/>
          <w:szCs w:val="24"/>
        </w:rPr>
        <w:t>lupulus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344CC7">
        <w:rPr>
          <w:rFonts w:ascii="Arial" w:hAnsi="Arial" w:cs="Arial"/>
          <w:sz w:val="24"/>
          <w:szCs w:val="24"/>
        </w:rPr>
        <w:t>Ruscus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; Zinc; Silicio; Cloruro de </w:t>
      </w:r>
      <w:proofErr w:type="spellStart"/>
      <w:r w:rsidRPr="00344CC7">
        <w:rPr>
          <w:rFonts w:ascii="Arial" w:hAnsi="Arial" w:cs="Arial"/>
          <w:sz w:val="24"/>
          <w:szCs w:val="24"/>
        </w:rPr>
        <w:t>Sod</w:t>
      </w:r>
      <w:proofErr w:type="spellEnd"/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344CC7">
        <w:rPr>
          <w:rFonts w:ascii="Arial" w:hAnsi="Arial" w:cs="Arial"/>
          <w:sz w:val="24"/>
          <w:szCs w:val="24"/>
        </w:rPr>
        <w:t>io</w:t>
      </w:r>
      <w:proofErr w:type="spellEnd"/>
      <w:proofErr w:type="gramEnd"/>
      <w:r w:rsidRPr="00344CC7">
        <w:rPr>
          <w:rFonts w:ascii="Arial" w:hAnsi="Arial" w:cs="Arial"/>
          <w:sz w:val="24"/>
          <w:szCs w:val="24"/>
        </w:rPr>
        <w:t xml:space="preserve"> U.S.P. 9%.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INDICACIONES:</w:t>
      </w:r>
      <w:r w:rsidRPr="00344CC7">
        <w:rPr>
          <w:rFonts w:ascii="Arial" w:hAnsi="Arial" w:cs="Arial"/>
          <w:sz w:val="24"/>
          <w:szCs w:val="24"/>
        </w:rPr>
        <w:t xml:space="preserve"> Reafirmante. Hipertrofia (aumento) muscular en glúteos, piernas, brazos, pantorrillas, pectorales, bíceps. Elevación de busto y glúteos. Reforzamiento de los tejidos musculares de soporte. Aumentar levemente el volumen corporal de manera localizada (glúteos, piernas, brazos, pecho).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PROPIEDADES:</w:t>
      </w:r>
      <w:r w:rsidRPr="00344CC7">
        <w:rPr>
          <w:rFonts w:ascii="Arial" w:hAnsi="Arial" w:cs="Arial"/>
          <w:sz w:val="24"/>
          <w:szCs w:val="24"/>
        </w:rPr>
        <w:t xml:space="preserve"> Acción nutritiva y estimulante de funciones </w:t>
      </w:r>
      <w:proofErr w:type="spellStart"/>
      <w:r w:rsidRPr="00344CC7">
        <w:rPr>
          <w:rFonts w:ascii="Arial" w:hAnsi="Arial" w:cs="Arial"/>
          <w:sz w:val="24"/>
          <w:szCs w:val="24"/>
        </w:rPr>
        <w:t>dermo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-tensoras. Genera tonificación localizada con un leve agrandamiento muscular. Reestructuración de las fibras elásticas y colágenas. Favorece el aumento del contenido hídrico de las células del estrato córneo, otorgando tonicidad y elasticidad. Aumenta el metabolismo a nivel local, favoreciendo las actividades </w:t>
      </w:r>
      <w:proofErr w:type="spellStart"/>
      <w:r w:rsidRPr="00344CC7">
        <w:rPr>
          <w:rFonts w:ascii="Arial" w:hAnsi="Arial" w:cs="Arial"/>
          <w:sz w:val="24"/>
          <w:szCs w:val="24"/>
        </w:rPr>
        <w:t>lipolíticas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. Actividad sobre la circulación, estimulando el drenaje linfático.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POSOLOGÍA:</w:t>
      </w:r>
      <w:r w:rsidRPr="00344CC7">
        <w:rPr>
          <w:rFonts w:ascii="Arial" w:hAnsi="Arial" w:cs="Arial"/>
          <w:sz w:val="24"/>
          <w:szCs w:val="24"/>
        </w:rPr>
        <w:t xml:space="preserve"> Los requisitos posológicos son variables y deben individualizarse sobre la base de cada caso para observar respuesta satisfactoria. Administración Local: Liberación </w:t>
      </w:r>
      <w:proofErr w:type="spellStart"/>
      <w:r w:rsidRPr="00344CC7">
        <w:rPr>
          <w:rFonts w:ascii="Arial" w:hAnsi="Arial" w:cs="Arial"/>
          <w:sz w:val="24"/>
          <w:szCs w:val="24"/>
        </w:rPr>
        <w:t>transdérmica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44CC7">
        <w:rPr>
          <w:rFonts w:ascii="Arial" w:hAnsi="Arial" w:cs="Arial"/>
          <w:sz w:val="24"/>
          <w:szCs w:val="24"/>
        </w:rPr>
        <w:t>mesoterapia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virtual (</w:t>
      </w:r>
      <w:proofErr w:type="spellStart"/>
      <w:r w:rsidRPr="00344CC7">
        <w:rPr>
          <w:rFonts w:ascii="Arial" w:hAnsi="Arial" w:cs="Arial"/>
          <w:sz w:val="24"/>
          <w:szCs w:val="24"/>
        </w:rPr>
        <w:t>electroporación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); a) Infiltración intradérmica profunda (13 mm </w:t>
      </w:r>
      <w:proofErr w:type="spellStart"/>
      <w:r w:rsidRPr="00344CC7">
        <w:rPr>
          <w:rFonts w:ascii="Arial" w:hAnsi="Arial" w:cs="Arial"/>
          <w:sz w:val="24"/>
          <w:szCs w:val="24"/>
        </w:rPr>
        <w:t>ó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½”) en la región muscular a tratar (glúteos, brazos, piernas, pantorrillas) por cuadrantes o en espiral; b) Intradérmica superficial (pápulas) en busto (alrededor de la base mamaria) y región </w:t>
      </w:r>
      <w:proofErr w:type="spellStart"/>
      <w:r w:rsidRPr="00344CC7">
        <w:rPr>
          <w:rFonts w:ascii="Arial" w:hAnsi="Arial" w:cs="Arial"/>
          <w:sz w:val="24"/>
          <w:szCs w:val="24"/>
        </w:rPr>
        <w:t>subglútea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44CC7">
        <w:rPr>
          <w:rFonts w:ascii="Arial" w:hAnsi="Arial" w:cs="Arial"/>
          <w:sz w:val="24"/>
          <w:szCs w:val="24"/>
        </w:rPr>
        <w:t>ptosis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glútea): 10 ml distribuidos en la superficie a tratar cada 72 horas. Administración Sistémica: Intramuscular profunda: 1 ml en cada glúteo cada 7 días. Para que el tratamiento sea más efectivo y mantenga su acción en el músculo se recomienda realizar ejercicios de tonificación para lograr el levantamiento y crecimiento de los glúteos.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ADVERTENCIA:</w:t>
      </w:r>
      <w:r w:rsidRPr="00344CC7">
        <w:rPr>
          <w:rFonts w:ascii="Arial" w:hAnsi="Arial" w:cs="Arial"/>
          <w:sz w:val="24"/>
          <w:szCs w:val="24"/>
        </w:rPr>
        <w:t xml:space="preserve"> No administrar en personas con cuadros infecciosos activos, con cáncer (activo o post tratamiento), durante el embarazo o cuando sospeche su existencia, ni durante la lactancia.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lastRenderedPageBreak/>
        <w:t>INTERACCIONES:</w:t>
      </w:r>
      <w:r w:rsidRPr="00344CC7">
        <w:rPr>
          <w:rFonts w:ascii="Arial" w:hAnsi="Arial" w:cs="Arial"/>
          <w:sz w:val="24"/>
          <w:szCs w:val="24"/>
        </w:rPr>
        <w:t xml:space="preserve"> Por ser Fórmula Homeopática no debe administrarse con productos mentolados ni alcanforados.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ALMACENAMIENTO:</w:t>
      </w:r>
      <w:r w:rsidRPr="00344CC7">
        <w:rPr>
          <w:rFonts w:ascii="Arial" w:hAnsi="Arial" w:cs="Arial"/>
          <w:sz w:val="24"/>
          <w:szCs w:val="24"/>
        </w:rPr>
        <w:t xml:space="preserve"> Conservar en ambiente seco y fresco, protegido de la luz directa y de la congelación, alejado de corrientes electromagnéticas.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CONTRAINDICACIONES:</w:t>
      </w:r>
      <w:r w:rsidRPr="00344CC7">
        <w:rPr>
          <w:rFonts w:ascii="Arial" w:hAnsi="Arial" w:cs="Arial"/>
          <w:sz w:val="24"/>
          <w:szCs w:val="24"/>
        </w:rPr>
        <w:t xml:space="preserve"> Hipersensibilidad a la </w:t>
      </w:r>
      <w:proofErr w:type="spellStart"/>
      <w:r w:rsidRPr="00344CC7">
        <w:rPr>
          <w:rFonts w:ascii="Arial" w:hAnsi="Arial" w:cs="Arial"/>
          <w:sz w:val="24"/>
          <w:szCs w:val="24"/>
        </w:rPr>
        <w:t>Procaína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a alguno de sus componentes.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PRECAUCIONES</w:t>
      </w:r>
      <w:r w:rsidRPr="00344CC7">
        <w:rPr>
          <w:rFonts w:ascii="Arial" w:hAnsi="Arial" w:cs="Arial"/>
          <w:sz w:val="24"/>
          <w:szCs w:val="24"/>
        </w:rPr>
        <w:t xml:space="preserve">: Deseche si observa turbidez, sedimentación o partículas en suspensión. </w:t>
      </w:r>
    </w:p>
    <w:p w:rsidR="00F6300A" w:rsidRDefault="00F6300A" w:rsidP="00F6300A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PRESENTACIÓN:</w:t>
      </w:r>
      <w:r>
        <w:rPr>
          <w:rFonts w:ascii="Arial" w:hAnsi="Arial" w:cs="Arial"/>
          <w:sz w:val="24"/>
          <w:szCs w:val="24"/>
        </w:rPr>
        <w:t xml:space="preserve"> Ampolla de  2 </w:t>
      </w:r>
      <w:r w:rsidRPr="00344CC7">
        <w:rPr>
          <w:rFonts w:ascii="Arial" w:hAnsi="Arial" w:cs="Arial"/>
          <w:sz w:val="24"/>
          <w:szCs w:val="24"/>
        </w:rPr>
        <w:t xml:space="preserve">ml. </w:t>
      </w:r>
    </w:p>
    <w:p w:rsidR="00BD2512" w:rsidRDefault="00BD2512" w:rsidP="00F6300A">
      <w:pPr>
        <w:jc w:val="both"/>
        <w:rPr>
          <w:rFonts w:ascii="Arial" w:hAnsi="Arial" w:cs="Arial"/>
          <w:sz w:val="24"/>
          <w:szCs w:val="24"/>
        </w:rPr>
      </w:pPr>
    </w:p>
    <w:p w:rsidR="00BD2512" w:rsidRDefault="00BD2512" w:rsidP="00F6300A">
      <w:pPr>
        <w:jc w:val="both"/>
        <w:rPr>
          <w:rFonts w:ascii="Arial" w:hAnsi="Arial" w:cs="Arial"/>
          <w:sz w:val="24"/>
          <w:szCs w:val="24"/>
        </w:rPr>
      </w:pPr>
      <w:r w:rsidRPr="00BD2512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2871704"/>
            <wp:effectExtent l="0" t="0" r="7620" b="5080"/>
            <wp:docPr id="2" name="Imagen 2" descr="C:\Users\LENOVO\Documents\PROCEDIMIENTOS DE PRODUCTOS\cajas imagenes\FACTOR ST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ROCEDIMIENTOS DE PRODUCTOS\cajas imagenes\FACTOR STRI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1274" w:rsidRDefault="00871274"/>
    <w:sectPr w:rsidR="008712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379" w:rsidRDefault="00DB5379" w:rsidP="00D106D0">
      <w:pPr>
        <w:spacing w:after="0" w:line="240" w:lineRule="auto"/>
      </w:pPr>
      <w:r>
        <w:separator/>
      </w:r>
    </w:p>
  </w:endnote>
  <w:endnote w:type="continuationSeparator" w:id="0">
    <w:p w:rsidR="00DB5379" w:rsidRDefault="00DB5379" w:rsidP="00D1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Pr="00695FE8" w:rsidRDefault="00D106D0" w:rsidP="00D106D0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0070C0"/>
      </w:rPr>
    </w:pPr>
    <w:r>
      <w:rPr>
        <w:rFonts w:asciiTheme="majorHAnsi" w:eastAsiaTheme="majorEastAsia" w:hAnsiTheme="majorHAnsi" w:cstheme="majorBidi"/>
        <w:color w:val="0070C0"/>
      </w:rPr>
      <w:t xml:space="preserve">                         </w:t>
    </w:r>
    <w:r w:rsidRPr="00695FE8">
      <w:rPr>
        <w:rFonts w:asciiTheme="majorHAnsi" w:eastAsiaTheme="majorEastAsia" w:hAnsiTheme="majorHAnsi" w:cstheme="majorBidi"/>
        <w:color w:val="0070C0"/>
      </w:rPr>
      <w:t>ESTE DOCUMENTO ES USO EXCLUSIVO LABORATORIO SUPREMEDICS</w:t>
    </w:r>
    <w:r w:rsidRPr="00695FE8">
      <w:rPr>
        <w:rFonts w:asciiTheme="majorHAnsi" w:eastAsiaTheme="majorEastAsia" w:hAnsiTheme="majorHAnsi" w:cstheme="majorBidi"/>
        <w:color w:val="0070C0"/>
      </w:rPr>
      <w:ptab w:relativeTo="margin" w:alignment="right" w:leader="none"/>
    </w:r>
  </w:p>
  <w:p w:rsidR="00D106D0" w:rsidRPr="00695FE8" w:rsidRDefault="00D106D0" w:rsidP="00D106D0">
    <w:pPr>
      <w:pStyle w:val="Piedepgina"/>
      <w:rPr>
        <w:color w:val="0070C0"/>
      </w:rPr>
    </w:pPr>
  </w:p>
  <w:p w:rsidR="00D106D0" w:rsidRDefault="00D106D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379" w:rsidRDefault="00DB5379" w:rsidP="00D106D0">
      <w:pPr>
        <w:spacing w:after="0" w:line="240" w:lineRule="auto"/>
      </w:pPr>
      <w:r>
        <w:separator/>
      </w:r>
    </w:p>
  </w:footnote>
  <w:footnote w:type="continuationSeparator" w:id="0">
    <w:p w:rsidR="00DB5379" w:rsidRDefault="00DB5379" w:rsidP="00D1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  <w:r>
      <w:rPr>
        <w:noProof/>
        <w:lang w:eastAsia="es-CO"/>
      </w:rPr>
      <w:drawing>
        <wp:inline distT="0" distB="0" distL="0" distR="0" wp14:anchorId="712BA562" wp14:editId="3274962A">
          <wp:extent cx="5612130" cy="1371600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6D0" w:rsidRDefault="00D106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D0"/>
    <w:rsid w:val="00871274"/>
    <w:rsid w:val="00A86C03"/>
    <w:rsid w:val="00BB42C5"/>
    <w:rsid w:val="00BD2512"/>
    <w:rsid w:val="00D106D0"/>
    <w:rsid w:val="00DB5379"/>
    <w:rsid w:val="00F352AB"/>
    <w:rsid w:val="00F6300A"/>
    <w:rsid w:val="00FD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EA401-6EA3-4C1A-A086-3F64061E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D0"/>
  </w:style>
  <w:style w:type="paragraph" w:styleId="Piedepgina">
    <w:name w:val="footer"/>
    <w:basedOn w:val="Normal"/>
    <w:link w:val="Piedepgina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D0"/>
  </w:style>
  <w:style w:type="paragraph" w:styleId="Textodeglobo">
    <w:name w:val="Balloon Text"/>
    <w:basedOn w:val="Normal"/>
    <w:link w:val="TextodegloboCar"/>
    <w:uiPriority w:val="99"/>
    <w:semiHidden/>
    <w:unhideWhenUsed/>
    <w:rsid w:val="00D1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diana idaly parra rodriguez</cp:lastModifiedBy>
  <cp:revision>4</cp:revision>
  <dcterms:created xsi:type="dcterms:W3CDTF">2018-02-06T22:49:00Z</dcterms:created>
  <dcterms:modified xsi:type="dcterms:W3CDTF">2019-05-08T14:47:00Z</dcterms:modified>
</cp:coreProperties>
</file>